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8"/>
          <w:szCs w:val="20"/>
        </w:rPr>
      </w:pPr>
      <w:r>
        <w:rPr>
          <w:rFonts w:eastAsia="Times New Roman" w:cs="Arial" w:ascii="Arial" w:hAnsi="Arial"/>
          <w:b/>
          <w:sz w:val="28"/>
          <w:szCs w:val="20"/>
        </w:rPr>
        <w:t>Scheda informativa n. 14.1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32"/>
          <w:szCs w:val="20"/>
        </w:rPr>
      </w:pPr>
      <w:r>
        <w:rPr>
          <w:rFonts w:eastAsia="Times New Roman" w:cs="Arial" w:ascii="Arial" w:hAnsi="Arial"/>
          <w:b/>
          <w:sz w:val="32"/>
          <w:szCs w:val="20"/>
        </w:rPr>
        <w:t>Locali di stallaggio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TIPOLOGIE DI PRATICHE: 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Le tipologie </w:t>
      </w:r>
      <w:r>
        <w:rPr>
          <w:rFonts w:eastAsia="Times New Roman" w:cs="Arial" w:ascii="Arial" w:hAnsi="Arial"/>
          <w:sz w:val="20"/>
          <w:szCs w:val="20"/>
          <w:lang w:eastAsia="it-IT"/>
        </w:rPr>
        <w:t>di pratiche in cui si articola l’attività di stallaggio sono le seguenti: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avvio dell’attività;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subingresso;</w:t>
      </w:r>
    </w:p>
    <w:p>
      <w:pPr>
        <w:pStyle w:val="Normal"/>
        <w:widowControl w:val="false"/>
        <w:numPr>
          <w:ilvl w:val="0"/>
          <w:numId w:val="3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cessazione dell’attività.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DESTINATARI</w:t>
      </w:r>
    </w:p>
    <w:p>
      <w:pPr>
        <w:pStyle w:val="Normal"/>
        <w:shd w:fill="FFFFFF" w:val="clear"/>
        <w:suppressAutoHyphens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Imprese che intendono avviare attività di stallaggio.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DESCRIZIONE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Per attività di stallaggio si intende il servizio di ricovero di animali, permanente o temporaneo, di proprietà del titolare o di terzi (ad es. maneggio o scuderia, pensione per animali, etc.).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NORMATIVA DI RIFERIMENTO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(R.D. n. 773/1931)</w:t>
      </w:r>
      <w:bookmarkStart w:id="0" w:name="inizio"/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Regolamento per l’esecuzione del T.U.L.P.S. (R.D. n. 635/1940);</w:t>
      </w:r>
    </w:p>
    <w:p>
      <w:pPr>
        <w:pStyle w:val="Normal"/>
        <w:widowControl w:val="false"/>
        <w:numPr>
          <w:ilvl w:val="0"/>
          <w:numId w:val="5"/>
        </w:numPr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D.P.R. n. 616/1977;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Legge n. 241/1990; D.lgs. n. 126/2016; D.lgs. n. 222/2016;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cs="Arial" w:ascii="Arial" w:hAnsi="Arial"/>
          <w:sz w:val="20"/>
          <w:szCs w:val="20"/>
        </w:rPr>
        <w:t>D.lgs.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n. 159/2011 “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Codice delle leggi antimafia e delle misure di prevenzione…</w:t>
      </w:r>
      <w:r>
        <w:rPr>
          <w:rFonts w:eastAsia="Times New Roman" w:cs="Arial" w:ascii="Arial" w:hAnsi="Arial"/>
          <w:sz w:val="20"/>
          <w:szCs w:val="20"/>
          <w:lang w:eastAsia="it-IT"/>
        </w:rPr>
        <w:t>”.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ADEMPIMENTI E MODALITÀ DI AVVIO DELL’ATTIVITÀ</w:t>
      </w:r>
    </w:p>
    <w:p>
      <w:pPr>
        <w:pStyle w:val="Normal"/>
        <w:shd w:fill="FFFFFF" w:val="clear"/>
        <w:suppressAutoHyphens w:val="false"/>
        <w:spacing w:lineRule="auto" w:line="240" w:before="100" w:after="100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Preliminarmente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è necessario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costituire una impresa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in forma individuale o societaria o cooperativa;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suppressAutoHyphens w:val="false"/>
        <w:spacing w:lineRule="auto" w:line="240" w:before="100" w:after="10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procedere all’iscrizione all’Albo delle Imprese</w:t>
      </w:r>
      <w:r>
        <w:rPr>
          <w:rFonts w:eastAsia="Times New Roman" w:cs="Arial" w:ascii="Arial" w:hAnsi="Arial"/>
          <w:sz w:val="20"/>
          <w:szCs w:val="20"/>
          <w:lang w:eastAsia="it-IT"/>
        </w:rPr>
        <w:t>.</w:t>
      </w:r>
    </w:p>
    <w:p>
      <w:pPr>
        <w:pStyle w:val="Normal"/>
        <w:shd w:fill="FFFFFF" w:val="clear"/>
        <w:spacing w:lineRule="auto" w:line="240" w:before="100" w:after="10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2, commi 2 e 4 del D.lgs. n. 126/2016: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</w:t>
      </w:r>
      <w:r>
        <w:rPr>
          <w:rFonts w:eastAsia="Times New Roman" w:cs="Arial" w:ascii="Arial" w:hAnsi="Arial"/>
          <w:sz w:val="20"/>
          <w:szCs w:val="20"/>
          <w:lang w:eastAsia="it-IT"/>
        </w:rPr>
        <w:t>’avvio dell’attività e le vicende successive sono subordinate 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compilazione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degli specifici moduli,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disponibili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sul sito istituzionale del Comune, da presentare esclusivamente in modalità telematica allo Sportello Unico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del Comune stesso;</w:t>
      </w:r>
    </w:p>
    <w:p>
      <w:pPr>
        <w:pStyle w:val="Normal"/>
        <w:widowControl w:val="false"/>
        <w:numPr>
          <w:ilvl w:val="0"/>
          <w:numId w:val="4"/>
        </w:numPr>
        <w:shd w:fill="FFFFFF" w:val="clear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il Comune può chiedere agli interessati informazioni/documenti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solo in caso di mancata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corrispondenza del contenuto della Segnalazione/Comunicazione e relativi allegati, ai moduli ed elenchi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pubblicati sul proprio sito istituzionale.</w:t>
      </w:r>
    </w:p>
    <w:p>
      <w:pPr>
        <w:pStyle w:val="Normal"/>
        <w:widowControl w:val="false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Qualora la Segnalazione/Comunicazione difetti degli elementi essenziali non potrà essere esaminata e, pertanto, sarà dichiarata irricevibile e archiviata.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REGIME AMMINISTRATIVO E CONCENTRAZIONE DEI REGIMI AMMINISTRATIVI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19bis, L. n. 241/1990, la pratica deve essere presentata allo Sportello Unico del Comune, anche in caso di procedimenti connessi di competenza di altre amministrazioni o diverse articolazioni interne dell’amministrazione ricevente.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/>
        <w:t>Per ciascuna tipologia di attività di cui alla presente Scheda informativa, la Tabella seguente illustra il regime amministrativo cui è soggetta, il regime amministrativo applicabile in caso di concentrazione con altre attività e i riferimenti normativi: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9"/>
        <w:gridCol w:w="2334"/>
        <w:gridCol w:w="1961"/>
        <w:gridCol w:w="2518"/>
        <w:gridCol w:w="2611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REGIME AMMINISTRATIVO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CONCENTRAZIONE DEI REGIMI AMMINISTRATIVI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RIFERIMENTI NORMATIVI</w:t>
            </w:r>
          </w:p>
        </w:tc>
      </w:tr>
      <w:tr>
        <w:trPr>
          <w:trHeight w:val="218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Avvio dell’attività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SCIA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La SCIA svolge anche la funzione di autorizzazione per i fini di cui all’art. 86 TULPS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Testo Unico delle Leggi di Pubblica Sicurezza di cui al R.D. n. 773/1931, art. 86, c.1, secondo periodo</w:t>
            </w:r>
          </w:p>
          <w:p>
            <w:pPr>
              <w:pStyle w:val="Normal"/>
              <w:suppressAutoHyphens w:val="false"/>
              <w:autoSpaceDE w:val="false"/>
              <w:spacing w:lineRule="auto" w:line="240" w:before="100" w:after="10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D.P.R. n. 616/1977, art. 19, c.4</w:t>
            </w:r>
          </w:p>
        </w:tc>
      </w:tr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Subingresso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Cessazione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00" w:after="10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00" w:after="10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240" w:after="120"/>
        <w:ind w:right="-142" w:hanging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della Segnalazione/Comunicazione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è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rilasciata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immediatamente ricevuta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 w:ascii="Arial" w:hAnsi="Arial"/>
          <w:bCs/>
          <w:sz w:val="20"/>
          <w:szCs w:val="20"/>
          <w:highlight w:val="lightGray"/>
          <w:lang w:eastAsia="it-IT"/>
        </w:rPr>
        <w:t>anche in via telematica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la cui protocollazione coincide con l’effettiva presentazione da parte dell’interessato</w:t>
      </w:r>
      <w:r>
        <w:rPr>
          <w:rStyle w:val="FootnoteAnchor"/>
          <w:rFonts w:eastAsia="Times New Roman" w:cs="Arial" w:ascii="Arial" w:hAnsi="Arial"/>
          <w:bCs/>
          <w:sz w:val="20"/>
          <w:szCs w:val="20"/>
          <w:vertAlign w:val="superscript"/>
          <w:lang w:eastAsia="it-IT"/>
        </w:rPr>
        <w:footnoteReference w:id="2"/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con indicazione dei termini entro cui l’Amministrazione è tenuta, ove previsto, a rispondere o entro cui il silenzio equivale ad accoglimento dell’istanza. In caso di pratiche presentate ad ufficio diverso da quello competente, i termini dei controlli ex artt. 19, c.3, L. n. 241/90, decorrono dal loro ricevimento da parte dell’ufficio competente (art. 18-bis, L. n. 241/90).</w:t>
      </w:r>
    </w:p>
    <w:p>
      <w:pPr>
        <w:pStyle w:val="Normal"/>
        <w:widowControl w:val="false"/>
        <w:suppressAutoHyphens w:val="false"/>
        <w:spacing w:lineRule="auto" w:line="240" w:before="120" w:after="240"/>
        <w:jc w:val="both"/>
        <w:rPr>
          <w:rFonts w:cs="Arial"/>
        </w:rPr>
      </w:pPr>
      <w:r>
        <w:rPr>
          <w:rFonts w:eastAsia="Arial" w:cs="Arial" w:ascii="Arial" w:hAnsi="Arial"/>
          <w:b/>
          <w:sz w:val="20"/>
          <w:szCs w:val="20"/>
          <w:lang w:eastAsia="it-IT"/>
        </w:rPr>
        <w:t>Elenco stati, qualità personali, fatti oggetto di dichiarazione sostitutiva necessari a corredo della Segnalazione/Comunicazione, con indicazione delle norme che ne prevedono la produzione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 (a</w:t>
      </w:r>
      <w:r>
        <w:rPr>
          <w:rFonts w:eastAsia="Arial" w:cs="Arial" w:ascii="Arial" w:hAnsi="Arial"/>
          <w:bCs/>
          <w:sz w:val="20"/>
          <w:szCs w:val="20"/>
          <w:lang w:eastAsia="it-IT"/>
        </w:rPr>
        <w:t>rt. 2,.c2, D.lgs. n. 126/2016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). 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70"/>
        <w:gridCol w:w="4293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Stati, qualità personali e fatti oggetto di dichiarazione sostitutiva necessari a corredo della Segnalazione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Norme che ne prevedono la produzione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Dati identificativi dell’impresa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7371" w:leader="none"/>
                <w:tab w:val="left" w:pos="9639" w:leader="none"/>
              </w:tabs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Art. 2195 codice 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Qualità rivestita dal titolare dell’impresa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2082 codice civile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Natura, ubicazione e insegna dell'esercizio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152,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urbanistiche, edilizie, di destinazione d’uso e igienico-sanitarie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3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Disposizioni urbanistiche e igienico-sanitarie comunali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Assenza cause di divieto, decadenza o sospensione di cui al libro primo, titolo primo, D.lgs. N.159/2011 (Legge antimafia)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4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67, c.1, lett. A), D. Lgs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lineRule="auto" w:line="240" w:before="120" w:after="120"/>
              <w:ind w:left="0" w:hanging="0"/>
              <w:contextualSpacing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Insussistenza condizioni previste dagli art. 11 e 92 del TULPS</w:t>
            </w:r>
            <w:r>
              <w:rPr>
                <w:rStyle w:val="FootnoteCharacters"/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5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11 e 92, TULPS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Conformità attrezzature alle prescrizioni delle vigenti normative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6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Normative di sicurezza e igienico-sanitarie settoriali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sulla sicurezza nei luoghi di lavoro</w:t>
            </w:r>
            <w:r>
              <w:rPr>
                <w:rStyle w:val="FootnoteCharacters"/>
                <w:rStyle w:val="FootnoteAnchor"/>
                <w:rFonts w:eastAsia="Times New Roman" w:cs="Arial" w:ascii="Arial" w:hAnsi="Arial"/>
                <w:sz w:val="20"/>
                <w:szCs w:val="20"/>
                <w:lang w:eastAsia="it-IT"/>
              </w:rPr>
              <w:footnoteReference w:id="7"/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D.lgs. N. 81/2008</w:t>
            </w:r>
          </w:p>
        </w:tc>
      </w:tr>
      <w:tr>
        <w:trPr>
          <w:trHeight w:val="234" w:hRule="atLeast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Prestazione del consenso al trattamento dei dati personali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13, D. Lgs. N. 196/2003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 xml:space="preserve">Dichiarazione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rispetto disposizioni D.P.R. n. 445/2000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val="en-US" w:eastAsia="it-IT"/>
              </w:rPr>
              <w:t>Art. 71 e ss., DPR n. 445/2000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persone tenute (amministratori, soci) – solo per società, associazioni, organismi collettivi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Artt. 67 e 85,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D. Lgs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Impegno ad allegare copia della documentazione richiesta dalla modulistica comunale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 xml:space="preserve">Art. 2, c.2,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D. Lgs</w:t>
            </w: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 xml:space="preserve"> N. 126/2016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N.B. Per questa tipologia di attività non sono previste attestazioni/asseverazioni di tecnici abilitati/dichiarazioni di conformità delle Agenzie delle imprese, necessari a corredo della Segnalazione/Comunicazione.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</w:t>
      </w:r>
      <w:r>
        <w:rPr>
          <w:rStyle w:val="FootnoteAnchor"/>
          <w:rFonts w:eastAsia="Times New Roman" w:cs="Arial" w:ascii="Arial" w:hAnsi="Arial"/>
          <w:sz w:val="20"/>
          <w:szCs w:val="20"/>
          <w:vertAlign w:val="superscript"/>
          <w:lang w:eastAsia="it-IT"/>
        </w:rPr>
        <w:footnoteReference w:id="8"/>
      </w:r>
    </w:p>
    <w:p>
      <w:pPr>
        <w:pStyle w:val="Normal"/>
        <w:widowControl w:val="false"/>
        <w:spacing w:lineRule="auto" w:line="240" w:before="240" w:after="240"/>
        <w:jc w:val="both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SCIA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54"/>
        <w:gridCol w:w="3437"/>
      </w:tblGrid>
      <w:tr>
        <w:trPr>
          <w:trHeight w:val="293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56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Procura/Delega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segnalazione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del documento di identità del/i titolare/i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segnalazione non sia sottoscritta in forma digitale e in assenza di procura</w:t>
            </w:r>
          </w:p>
        </w:tc>
      </w:tr>
      <w:tr>
        <w:trPr>
          <w:trHeight w:val="106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Nel caso di cittadini extracomunitari 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sul possesso dei requisiti da parte degli altri soci (allegato A del modello + copia del documento d’identità)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Sempre, in presenza di soggetti (ad es. soci) diversi dal dichiarante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Comunicazione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28"/>
        <w:gridCol w:w="3463"/>
      </w:tblGrid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437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Procura/Delega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comunicazione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documento di identità del/i titolare/i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comunicazione non sia sottoscritta in forma digitale e in assenza di procura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cittadini extracomunitari</w:t>
            </w:r>
          </w:p>
        </w:tc>
      </w:tr>
      <w:tr>
        <w:trPr>
          <w:trHeight w:val="394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Dichiarazione da parte del Notaio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l’atto alla base del subingresso sia in corso di registrazione</w:t>
            </w:r>
          </w:p>
        </w:tc>
      </w:tr>
      <w:tr>
        <w:trPr>
          <w:trHeight w:val="102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A</w:t>
            </w: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>utorizzazione/DIA/SCIA/Comunicazione originale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cessazione dell’attività</w:t>
            </w:r>
          </w:p>
        </w:tc>
      </w:tr>
    </w:tbl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Altri allegati (Attestazioni del versamento di oneri, diritti, etc.) - a pena di irricevibilità: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2"/>
        <w:gridCol w:w="4780"/>
        <w:gridCol w:w="3421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64" w:hRule="atLeast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Attestazione del versamento di oneri, diritti, etc.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Nella misura e con le modalità indicate sul sito dell’Amministrazione</w:t>
            </w:r>
          </w:p>
        </w:tc>
      </w:tr>
    </w:tbl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PER L’AVVIO E L’ESERCIZIO DELL’ATTIVITÀ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morali:</w:t>
      </w:r>
    </w:p>
    <w:p>
      <w:pPr>
        <w:pStyle w:val="Normal"/>
        <w:suppressAutoHyphens w:val="false"/>
        <w:spacing w:lineRule="auto" w:line="240" w:before="100" w:after="100"/>
        <w:ind w:right="567" w:hanging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Costituisce impedimento soggettivo all’esercizio dell’attività, l'applicazione delle misure di prevenzione di cui al libro I, titolo I (Foglio di via obbligatorio, Sorveglianza speciale, Divieto di soggiorno e Obbligo di soggiorno) e la condanna con sentenza definitiva per i delitti elencati nell’art. 51, c.3 bis del Codice di Procedura Penale, ad es. associazione di tipo mafioso, associazione finalizzata al traffico di stupefacenti, etc. (art. 67, D.lgs. n. 159/11). In caso di impresa individuale, tali requisiti devono essere posseduti dal titolare; in caso di società/associazioni/organismi collettivi, da legale rappresentante e soggetti indicati dall’art. 85, c.1 e 2, D.lgs. n. 159/2011.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Insussistenza delle condizioni previste dagli art. 11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9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e 92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10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del TULPS (R.D. n. 773/1931).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Requisiti oggettivi:</w:t>
      </w:r>
    </w:p>
    <w:p>
      <w:pPr>
        <w:pStyle w:val="Normal"/>
        <w:suppressAutoHyphens w:val="false"/>
        <w:autoSpaceDE w:val="false"/>
        <w:spacing w:lineRule="auto" w:line="240" w:before="100" w:after="100"/>
        <w:ind w:right="658" w:hanging="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Idoneità dei locali dal punto di vista urbanistico, edilizio, di destinazione d’uso e igienico-sanitario.</w:t>
      </w:r>
    </w:p>
    <w:p>
      <w:pPr>
        <w:pStyle w:val="Normal"/>
        <w:shd w:fill="FFFFFF" w:val="clear"/>
        <w:suppressAutoHyphens w:val="false"/>
        <w:spacing w:lineRule="auto" w:line="240" w:before="100" w:after="10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Rispetto norme sulla sicurezza nei luoghi di lavoro, di cui al D.lgs. n. 81/2006.</w:t>
      </w:r>
    </w:p>
    <w:p>
      <w:pPr>
        <w:pStyle w:val="Normal"/>
        <w:shd w:fill="FFFFFF" w:val="clear"/>
        <w:suppressAutoHyphens w:val="false"/>
        <w:spacing w:lineRule="auto" w:line="240" w:before="100" w:after="10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Conformità delle attrezzature alle prescrizioni delle vigenti normative di sicurezza e igienico-sanitarie settoriali.</w:t>
      </w:r>
    </w:p>
    <w:p>
      <w:pPr>
        <w:pStyle w:val="Normal"/>
        <w:widowControl w:val="false"/>
        <w:shd w:fill="FFFFFF" w:val="clear"/>
        <w:spacing w:lineRule="auto" w:line="240" w:before="240" w:after="24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TEMPI SPECIFICI E CONTROLLI</w:t>
      </w:r>
    </w:p>
    <w:p>
      <w:pPr>
        <w:pStyle w:val="Normal"/>
        <w:widowControl w:val="false"/>
        <w:tabs>
          <w:tab w:val="left" w:pos="9782" w:leader="none"/>
        </w:tabs>
        <w:spacing w:lineRule="auto" w:line="240" w:before="240" w:after="24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L’attività, oggetto della Scia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può essere iniziata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dalla presentazione della stessa.</w:t>
      </w:r>
    </w:p>
    <w:p>
      <w:pPr>
        <w:pStyle w:val="Normal"/>
        <w:suppressAutoHyphens w:val="false"/>
        <w:spacing w:lineRule="auto" w:line="240" w:before="100" w:after="100"/>
        <w:jc w:val="both"/>
        <w:rPr>
          <w:rFonts w:ascii="Arial" w:hAnsi="Arial" w:eastAsia="Times New Roman" w:cs="Arial"/>
          <w:bCs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color w:val="000000"/>
          <w:sz w:val="20"/>
          <w:szCs w:val="20"/>
          <w:lang w:eastAsia="it-IT"/>
        </w:rPr>
        <w:t xml:space="preserve">Qualora, nei controlli venga accertata la carenza dei requisiti/presupposti previsti dalla normativa vigente il Comune, entro 60 gg. dal ricevimento, invita il privato a conformare l'attività e i suoi effetti, entro un termine non inferiore a trenta giorni, decorso inutilmente il quale, l'attività si intende vietata.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Con lo stesso atto, in caso di attestazioni non veritiere o pericolo per la tutela dell'interesse pubblico in materia di ambiente, paesaggio, beni culturali, salute, sicurezza pubblica o difesa nazionale, viene sospesa l'attività. L'atto interrompe il termine di 60 giorni dal ricevimento della Scia per operare i controlli, che ricomincia a decorrere dalla data in cui il privato comunica l'adozione delle misure richieste. In assenza di ulteriori provvedimenti, decorso tale termine, cessano gli effetti della sospensione eventualmente adottata.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Decorsi 60 giorni dal ricevimento della Scia, l'amministrazione può adottare comunque i suddetti provvedimenti in presenza delle condizioni di cui all'art. 21-nonies, L. n. 241/90 (ossia, entro 18 mesi nel caso di illegittimità degli atti e anche oltre tale termine nell’ipotesi di false rappresentazioni dei fatti o dichiarazioni false/mendaci per effetto di condotte costituenti reato).</w:t>
      </w:r>
      <w:r>
        <w:rPr>
          <w:rFonts w:eastAsia="Times New Roman" w:cs="Arial" w:ascii="Arial" w:hAnsi="Arial"/>
          <w:b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In caso di dichiarazioni false/mendaci è fatta, comunque, salva l’applicazione delle sanzioni ex art. 19, c.6, L. n. 241/1990.</w:t>
      </w:r>
    </w:p>
    <w:p>
      <w:pPr>
        <w:pStyle w:val="Normal"/>
        <w:suppressAutoHyphens w:val="false"/>
        <w:spacing w:lineRule="auto" w:line="240" w:before="100" w:after="10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L’attività oggetto di comunicazione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può essere iniziata dalla sua 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. In caso di comunicazione irregolare/incompleta, entro ........ giorni dal ricevimento, sono comunicate all'interessato le cause di irregolarità/incompletezza e il termine per l'integrazione prevedendosi, in difetto, l’archiviazione della comunicazione per improcedibilità.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Le dichiarazioni false/mendaci sono sanzionate ex artt. 71 e ss. del D.P.R. n. 445/2000.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bookmarkStart w:id="1" w:name="_Hlk479843000"/>
    <w:bookmarkEnd w:id="1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bookmarkStart w:id="2" w:name="_Hlk479842971"/>
          <w:bookmarkEnd w:id="2"/>
          <w:r>
            <w:rPr>
              <w:rFonts w:eastAsia="Times New Roman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Cod. 22216s.14.1.s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Le istanze, segnalazioni o comunicazioni producono effetti anche in caso di mancato rilascio della ricevuta;</w:t>
      </w:r>
    </w:p>
  </w:footnote>
  <w:footnote w:id="3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autocertificarle nella comunicazione di cessazione dell’attività;</w:t>
      </w:r>
    </w:p>
  </w:footnote>
  <w:footnote w:id="4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autocertificarli nella comunicazione di cessazione dell’attività;</w:t>
      </w:r>
    </w:p>
  </w:footnote>
  <w:footnote w:id="5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autocertificarle nella comunicazione di cessazione dell’attività;</w:t>
      </w:r>
    </w:p>
  </w:footnote>
  <w:footnote w:id="6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autocertificarli nella comunicazione di cessazione dell’attività</w:t>
      </w:r>
    </w:p>
  </w:footnote>
  <w:footnote w:id="7">
    <w:p>
      <w:pPr>
        <w:pStyle w:val="Footnote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ar-SA"/>
        </w:rPr>
        <w:t>Non è necessario autocertificare nella comunicazione di cessazione dell’attività;</w:t>
      </w:r>
    </w:p>
  </w:footnote>
  <w:footnote w:id="8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In relazione alle specifiche tipologie di titolo abilitativo.</w:t>
      </w:r>
    </w:p>
  </w:footnote>
  <w:footnote w:id="9"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en-US"/>
        </w:rPr>
        <w:t xml:space="preserve">Art. 11 - </w:t>
      </w:r>
      <w:r>
        <w:rPr>
          <w:rFonts w:cs="Arial" w:ascii="Arial" w:hAnsi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1 a chi ha riportato una condanna a pena restrittiva della libertà personale superiore a tre anni per delitto non colposo e non ha ottenuto la riabilitazione;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2 a chi è sottoposto all'ammonizione o a misura di sicurezza personale o è stato dichiarato delinquente abituale, professionale o per tendenza.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dell’autorizzazione;</w:t>
      </w:r>
    </w:p>
  </w:footnote>
  <w:footnote w:id="10"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  <w:lang w:eastAsia="it-IT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Oltre a quanto è preveduto dall'</w:t>
      </w:r>
      <w:r>
        <w:rPr>
          <w:rFonts w:eastAsia="Times New Roman" w:cs="Arial" w:ascii="Arial" w:hAnsi="Arial"/>
          <w:i/>
          <w:iCs/>
          <w:sz w:val="16"/>
          <w:szCs w:val="16"/>
          <w:lang w:eastAsia="it-IT"/>
        </w:rPr>
        <w:t xml:space="preserve">art. 11,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la licenza di esercizio pubblico e l'autorizzazione di cui all'art. 89 non possono essere date a chi sia stato condannato per reati contro la moralità pubblica e il buon costume, o contro la sanità pubblica o per giuochi d'azzardo, o</w:t>
      </w:r>
      <w:r>
        <w:rPr>
          <w:rFonts w:eastAsia="Times New Roman" w:cs="Arial" w:ascii="Arial" w:hAnsi="Arial"/>
          <w:sz w:val="16"/>
          <w:szCs w:val="16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per delitti commessi in istato di ubriachezza o per contravvenzioni concernenti la prevenzione dell'alcoolismo, o per infrazioni alla legge sul lotto, o per abuso di sostanze stupefacenti.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Arial" w:hAnsi="Arial" w:eastAsia="Times New Roman" w:cs="Arial"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  <w:color w:val="00000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Arial" w:hAnsi="Arial" w:eastAsia="Times New Roman" w:cs="Aria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  <w:b w:val="false"/>
      <w:i w:val="false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b/>
      <w:sz w:val="18"/>
      <w:szCs w:val="18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Carpredefinitoparagrafo1">
    <w:name w:val="Car. predefinito paragrafo1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character" w:styleId="InternetLink">
    <w:name w:val="Internet Link"/>
    <w:rPr>
      <w:strike w:val="false"/>
      <w:dstrike w:val="false"/>
      <w:color w:val="0000FF"/>
      <w:u w:val="none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uppressAutoHyphens w:val="false"/>
      <w:spacing w:before="0" w:after="200"/>
      <w:ind w:left="720" w:hanging="0"/>
      <w:contextualSpacing/>
    </w:pPr>
    <w:rPr>
      <w:rFonts w:cs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2017-10-02T09:11:00Z</dcterms:created>
  <dc:creator>Grafiche E.Gaspari S.r.l.</dc:creator>
  <dc:description/>
  <dc:language>en-US</dc:language>
  <cp:lastModifiedBy>Andrea Piredda</cp:lastModifiedBy>
  <cp:lastPrinted>2112-12-31T23:00:00Z</cp:lastPrinted>
  <dcterms:modified xsi:type="dcterms:W3CDTF">2017-10-02T09:36:00Z</dcterms:modified>
  <cp:revision>5</cp:revision>
  <dc:subject/>
  <dc:title/>
</cp:coreProperties>
</file>